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Style w:val="a3"/>
        <w:tblW w:w="9315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5"/>
        <w:gridCol w:w="6090"/>
      </w:tblGrid>
      <w:tr>
        <w:trPr>
          <w:trHeight w:val="1144" w:hRule="atLeast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2540">
                  <wp:extent cx="1617345" cy="76962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СМОЛА КАРБАМИДОФОРМАЛЬДЕГИДНАЯ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СВХК-15Д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2223-004-14559685-2011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Cмола СВХК-15Д карбамидоформальдегидная малой токсичности, применяется в качестве связующего в производстве древесностружечных плит, фанеры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Однородная суспензия от белого до светло-желтого цвета без посторонних включений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сухого остатка, %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66 ± 2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0,15</w:t>
            </w:r>
          </w:p>
        </w:tc>
      </w:tr>
      <w:tr>
        <w:trPr>
          <w:trHeight w:val="913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при 20 ± 0,5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по вискозиметру ВЗ-246 с соплом диаметром 4 мм, с.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  <w:u w:val="single"/>
              </w:rPr>
              <w:t>Вязкость на момент изготовления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на момент окончания гарантийного срока хранения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  <w:u w:val="single"/>
              </w:rPr>
              <w:t>40-80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170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Концентрация водородных ионов, рН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7,5-8,5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Время желатинизации: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при 100 °С, с.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40-75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Предельная смешиваемость  смолы с водой по объему.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1:3 – 1:6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8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 прочности при скалывании по клеевому слою фанеры после вымачивания образцов в воде в течение 24 ч., МПа, не менее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ж/д цистерны,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от +5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до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периодически перемешивая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Срок годности 45 суток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LibreOffice/6.0.2.1$Windows_X86_64 LibreOffice_project/f7f06a8f319e4b62f9bc5095aa112a65d2f3ac89</Application>
  <Pages>1</Pages>
  <Words>217</Words>
  <Characters>1356</Characters>
  <CharactersWithSpaces>1527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2018-05-15T11:16:29Z</dcterms:created>
  <dc:creator/>
  <dc:description/>
  <dc:language>ru-RU</dc:language>
  <cp:lastModifiedBy/>
  <dcterms:modified xsi:type="dcterms:W3CDTF">2018-05-15T11:19:44Z</dcterms:modified>
  <cp:revision>2</cp:revision>
  <dc:subject/>
  <dc:title/>
</cp:coreProperties>
</file>