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ФЕНОЛОФОРМАЛЬДЕГИДНАЯ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423_3378018924"/>
      <w:r>
        <w:rPr>
          <w:rFonts w:ascii="Calibri" w:hAnsi="Calibri"/>
          <w:b/>
          <w:sz w:val="32"/>
        </w:rPr>
        <w:t>СВХК-ФМ2</w:t>
      </w:r>
      <w:bookmarkEnd w:id="0"/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2223-029-14559685-2014</w:t>
      </w: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/>
        <w:ind w:hanging="0"/>
        <w:jc w:val="both"/>
        <w:rPr>
          <w:rFonts w:ascii="Calibri" w:hAnsi="Calibri"/>
        </w:rPr>
      </w:pPr>
      <w:r>
        <w:rPr>
          <w:rFonts w:ascii="Calibri" w:hAnsi="Calibri"/>
        </w:rPr>
        <w:t>Cмола СВХК-ФМ2 фенолоформальдегидная, предназначена для технологии пропитки бумаги технического назначения, используемой для получения слоистых пластиков мебельного назначения.</w:t>
      </w:r>
    </w:p>
    <w:p>
      <w:pPr>
        <w:pStyle w:val="Normal"/>
        <w:spacing w:lineRule="auto" w:line="312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жидкость от светло-жёлтого до коричневого цвета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54 - 56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16 - 18</w:t>
            </w:r>
          </w:p>
        </w:tc>
      </w:tr>
      <w:tr>
        <w:trPr>
          <w:trHeight w:val="412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8,0 - 8,5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Водное число при 20°С на момент изготовления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1,5 – 1,7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помутнения, сек.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300-420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фенола,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eastAsia="Calibri" w:cs="Times New Roman" w:ascii="Calibri" w:hAnsi="Calibri"/>
        </w:rPr>
        <w:t>Для перевозки смолы в зимнее время рекомендуется использовать цистерны, имеющие водяную рубашку или теплоизоляцию.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+20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+30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7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LibreOffice/6.0.2.1$Windows_X86_64 LibreOffice_project/f7f06a8f319e4b62f9bc5095aa112a65d2f3ac89</Application>
  <Pages>1</Pages>
  <Words>205</Words>
  <Characters>1288</Characters>
  <CharactersWithSpaces>1542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2018-05-15T11:30:48Z</dcterms:modified>
  <cp:revision>16</cp:revision>
  <dc:subject/>
  <dc:title/>
</cp:coreProperties>
</file>