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СВХК-15Д-ЕС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2223-040-14559685-2017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Cмола СВХК-15Д-ЕС карбамидоформальдегидная, </w:t>
      </w:r>
      <w:r>
        <w:rPr>
          <w:rFonts w:cs="Arial" w:ascii="Calibri" w:hAnsi="Calibri"/>
        </w:rPr>
        <w:t xml:space="preserve"> </w:t>
      </w:r>
      <w:r>
        <w:rPr>
          <w:rFonts w:cs="Times New Roman" w:ascii="Calibri" w:hAnsi="Calibri"/>
        </w:rPr>
        <w:t xml:space="preserve">применяется  в качестве связующего для производства фанеры, соответствующей классу эмиссии </w:t>
      </w:r>
      <w:r>
        <w:rPr>
          <w:rFonts w:cs="Times New Roman" w:ascii="Calibri" w:hAnsi="Calibri"/>
          <w:lang w:val="en-US"/>
        </w:rPr>
        <w:t>CARB</w:t>
      </w:r>
      <w:r>
        <w:rPr>
          <w:rFonts w:cs="Times New Roman" w:ascii="Calibri" w:hAnsi="Calibri"/>
        </w:rPr>
        <w:t xml:space="preserve"> </w:t>
      </w:r>
      <w:r>
        <w:rPr>
          <w:rFonts w:cs="Times New Roman" w:ascii="Calibri" w:hAnsi="Calibri"/>
          <w:lang w:val="en-US"/>
        </w:rPr>
        <w:t>Phase</w:t>
      </w:r>
      <w:r>
        <w:rPr>
          <w:rFonts w:cs="Times New Roman" w:ascii="Calibri" w:hAnsi="Calibri"/>
        </w:rPr>
        <w:t xml:space="preserve"> 2.</w:t>
      </w:r>
      <w:r>
        <w:rPr>
          <w:rFonts w:cs="Arial"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66 ± 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0,05</w:t>
            </w:r>
          </w:p>
        </w:tc>
      </w:tr>
      <w:tr>
        <w:trPr>
          <w:trHeight w:val="648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70-90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7,2-8,2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50-80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1:3 – 1:3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 прочности при скалывании по клеевому слою фанеры после вымачивания образцов в воде в течение 24 ч., МПа,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30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207</Words>
  <Characters>1284</Characters>
  <CharactersWithSpaces>1516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2018-05-15T11:17:58Z</dcterms:modified>
  <cp:revision>1</cp:revision>
  <dc:subject/>
  <dc:title/>
</cp:coreProperties>
</file>