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 xml:space="preserve">ЛИТЕЙНАЯ САМОВЫСЫХАЮЩАЯ КРАСКА </w:t>
      </w:r>
      <w:bookmarkStart w:id="0" w:name="__DdeLink__10615_1588911838"/>
      <w:r>
        <w:rPr>
          <w:rFonts w:ascii="Calibri" w:hAnsi="Calibri"/>
          <w:b/>
          <w:sz w:val="32"/>
        </w:rPr>
        <w:t>ЛСК-6001</w:t>
      </w:r>
      <w:bookmarkEnd w:id="0"/>
      <w:r>
        <w:rPr>
          <w:rFonts w:ascii="Calibri" w:hAnsi="Calibri"/>
          <w:b/>
          <w:sz w:val="32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24"/>
          <w:szCs w:val="24"/>
        </w:rPr>
        <w:t>Тальковая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2223-201-14559685-2010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cs="Arial" w:ascii="Calibri" w:hAnsi="Calibri"/>
        </w:rPr>
        <w:t>Литейная самовысыхающая краска предназначена для нанесения на песчаные формы/стержни  при изготовлении отливок из алюминиевых, отливок из сплавов на медной основе и мелкого чугунного литья. Сушка слоя покрытия проводится на открытом воздухе (самовысыхание).</w:t>
      </w:r>
    </w:p>
    <w:p>
      <w:pPr>
        <w:pStyle w:val="Normal"/>
        <w:spacing w:lineRule="auto" w:line="240" w:before="0" w:after="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по вискозиметру ВЗ-246 (сопло диаметром 4 мм), при (20 ± 0,5)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сек., не более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17 - 35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(20 ± 0,2)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г/см3,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1,05 – 1,3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Седиментационная  устойчивость, %,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98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Прочность на истирание (кг/мм), не менее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2,5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 и транспортирование:</w:t>
      </w:r>
      <w:r>
        <w:rPr>
          <w:rFonts w:cs="Arial"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Стальные сварные бочки, барабаны, вёдра или пластиковые бочки с плотно закрывающимися крышками.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Транспортируют всеми видами транспорта в соответствии с Правилами перевозки грузов, действующими на данном виде транспорта.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  <w:r>
        <w:rPr>
          <w:rFonts w:ascii="Calibri" w:hAnsi="Calibri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Хранить  литейные самовысыхающие краски необходимо в герметичной упаковке при плюсовой температуре не выше +25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vertAlign w:val="superscript"/>
          <w:lang w:val="ru-RU" w:eastAsia="zh-CN" w:bidi="hi-IN"/>
        </w:rPr>
        <w:t>0</w:t>
      </w:r>
      <w:r>
        <w:rPr>
          <w:rFonts w:ascii="Calibri" w:hAnsi="Calibri"/>
        </w:rPr>
        <w:t>С вдали от источников огня и в местах защищённых от воздействия прямых солнечных лучей и атмосферных осадков.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Срок годности 6 месяцев со дня изготовления</w:t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cs="Arial" w:ascii="Calibri" w:hAnsi="Calibri"/>
          <w:b/>
          <w:sz w:val="24"/>
          <w:szCs w:val="24"/>
        </w:rPr>
        <w:t>Рекомендации по использованию покрытий: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SimSun" w:cs="Arial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 xml:space="preserve">Перед использованием покрытия необходимо тщательно перемешать с использованием мешалки с пневмоприводом (обороты: 100 – 500 об/мин) до однородного состояния в течение 10 минут. Перемешивание необходимо для усреднения покрытия после транспортировки и снижения вязкости покоя. Рабочая температура окружающего воздуха, оптимальная для работы с покрытием – не ниже 15 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vertAlign w:val="superscript"/>
          <w:lang w:val="ru-RU" w:eastAsia="zh-CN" w:bidi="hi-IN"/>
        </w:rPr>
        <w:t>0</w:t>
      </w:r>
      <w:r>
        <w:rPr>
          <w:rFonts w:eastAsia="SimSun" w:cs="Arial" w:ascii="Calibri" w:hAnsi="Calibri"/>
          <w:b w:val="false"/>
          <w:bCs w:val="false"/>
          <w:color w:val="000000"/>
          <w:kern w:val="2"/>
          <w:sz w:val="24"/>
          <w:szCs w:val="24"/>
          <w:lang w:val="ru-RU" w:eastAsia="zh-CN" w:bidi="hi-IN"/>
        </w:rPr>
        <w:t>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LibreOffice/6.0.4.2$Windows_X86_64 LibreOffice_project/9b0d9b32d5dcda91d2f1a96dc04c645c450872bf</Application>
  <Pages>1</Pages>
  <Words>236</Words>
  <Characters>1544</Characters>
  <CharactersWithSpaces>1796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2018-05-25T10:20:05Z</dcterms:modified>
  <cp:revision>23</cp:revision>
  <dc:subject/>
  <dc:title/>
</cp:coreProperties>
</file>