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345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54"/>
        <w:gridCol w:w="6090"/>
      </w:tblGrid>
      <w:tr>
        <w:trPr>
          <w:trHeight w:val="1144" w:hRule="atLeast"/>
        </w:trPr>
        <w:tc>
          <w:tcPr>
            <w:tcW w:w="3254" w:type="dxa"/>
            <w:tcBorders/>
            <w:shd w:fill="auto" w:val="clear"/>
          </w:tcPr>
          <w:p>
            <w:pPr>
              <w:pStyle w:val="Normal"/>
              <w:pageBreakBefore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0">
                  <wp:extent cx="1617345" cy="769620"/>
                  <wp:effectExtent l="0" t="0" r="0" b="0"/>
                  <wp:docPr id="1" name="Изображение1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Calibri" w:hAnsi="Calibri"/>
          <w:b/>
          <w:b/>
          <w:sz w:val="32"/>
        </w:rPr>
      </w:pPr>
      <w:r>
        <w:rPr>
          <w:rFonts w:ascii="Calibri" w:hAnsi="Calibri"/>
          <w:b/>
          <w:sz w:val="32"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Связующее литейное Холоднотвердеющее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505_1588911838"/>
      <w:r>
        <w:rPr>
          <w:rFonts w:ascii="Calibri" w:hAnsi="Calibri"/>
          <w:b/>
          <w:sz w:val="32"/>
        </w:rPr>
        <w:t>СВХК-Русамин-1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2223-036-14559685-2015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 xml:space="preserve">Cмола СВХК-Русамин-1 трёхкомпанентная композиция, </w:t>
      </w:r>
      <w:r>
        <w:rPr>
          <w:rFonts w:cs="Arial" w:ascii="Calibri" w:hAnsi="Calibri"/>
        </w:rPr>
        <w:t xml:space="preserve">предназначенная для приготовления песчано-смоляных смесей высокоскоростного холодного отверждения, используемая при изготовлении стержней и форм в литейном производстве. 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12"/>
        </w:rPr>
      </w:pPr>
      <w:r>
        <w:rPr>
          <w:rFonts w:ascii="Calibri" w:hAnsi="Calibri"/>
          <w:sz w:val="12"/>
        </w:rPr>
      </w:r>
    </w:p>
    <w:tbl>
      <w:tblPr>
        <w:tblW w:w="5000" w:type="pct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Компонент Русамин – 1А 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жидкость от светло-жёлтого до тёмно-коричневого  цвета, без механических примесей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Компонент Русамин – 1В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прозрачная жидкость  тёмно-коричневого  цвета, без механических примесей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Компонент Русамин – 1С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Бесцветная прозрачная подвижная  жидкость, с резким специфическим запахом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сек.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Компонент Русамин – 1А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20 - 90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Компонент Русамин – 1В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15 - 50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Коэффициент рефракции при 20°С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Компонент Русамин – 1А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1,515 – 1,540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Компонент Русамин – 1В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                       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>1,585 – 1,595</w:t>
            </w:r>
          </w:p>
        </w:tc>
      </w:tr>
      <w:tr>
        <w:trPr>
          <w:trHeight w:val="326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Разрушающее напряжение  при растяжении образцов, изготовленных из песчано-смоляных смесей с отношением компонентов Русамин-1А / Русамин -1ВС в течении 1 </w:t>
            </w:r>
            <w:r>
              <w:rPr>
                <w:rFonts w:cs="Calibri" w:ascii="Calibri" w:hAnsi="Calibri"/>
                <w:sz w:val="20"/>
                <w:szCs w:val="20"/>
              </w:rPr>
              <w:t>часа, МПа (кгс/см</w:t>
            </w:r>
            <w:r>
              <w:rPr>
                <w:rFonts w:cs="Calibri" w:ascii="Calibri" w:hAnsi="Calibri"/>
                <w:sz w:val="20"/>
                <w:szCs w:val="20"/>
                <w:vertAlign w:val="superscript"/>
              </w:rPr>
              <w:t>2</w:t>
            </w:r>
            <w:r>
              <w:rPr>
                <w:rFonts w:cs="Calibri" w:ascii="Calibri" w:hAnsi="Calibri"/>
                <w:sz w:val="20"/>
                <w:szCs w:val="20"/>
              </w:rPr>
              <w:t>), не менее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0,35 (3,5</w:t>
            </w:r>
            <w:r>
              <w:rPr>
                <w:rFonts w:cs="Calibri" w:ascii="Calibri" w:hAnsi="Calibri" w:cstheme="minorHAnsi"/>
                <w:sz w:val="20"/>
                <w:szCs w:val="20"/>
                <w:lang w:val="en-US"/>
              </w:rPr>
              <w:t>)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 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не выше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на расстоянии не менее 0,5 м от нагревательных приборов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SimSun" w:cs="Arial"/>
          <w:b w:val="false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</w:pPr>
      <w:r>
        <w:rPr>
          <w:rFonts w:eastAsia="SimSun" w:cs="Arial" w:ascii="Calibri" w:hAnsi="Calibri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>Срок годности 6 месяцев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LibreOffice/6.0.4.2$Windows_X86_64 LibreOffice_project/9b0d9b32d5dcda91d2f1a96dc04c645c450872bf</Application>
  <Pages>1</Pages>
  <Words>231</Words>
  <Characters>1556</Characters>
  <CharactersWithSpaces>1898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2018-05-14T16:34:59Z</dcterms:created>
  <dc:creator/>
  <dc:description/>
  <dc:language>ru-RU</dc:language>
  <cp:lastModifiedBy/>
  <dcterms:modified xsi:type="dcterms:W3CDTF">2018-05-25T10:00:38Z</dcterms:modified>
  <cp:revision>6</cp:revision>
  <dc:subject/>
  <dc:title/>
</cp:coreProperties>
</file>