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ЛИТЕЙНОЕ РАЗДЕЛИТЕЛЬНОЕ ПОКРЫТИЕ </w:t>
      </w:r>
      <w:bookmarkStart w:id="0" w:name="__DdeLink__10652_1588911838"/>
      <w:r>
        <w:rPr>
          <w:rFonts w:ascii="Calibri" w:hAnsi="Calibri"/>
          <w:b/>
          <w:sz w:val="32"/>
        </w:rPr>
        <w:t>ЛРП-1001</w:t>
      </w:r>
      <w:bookmarkEnd w:id="0"/>
      <w:r>
        <w:rPr>
          <w:rFonts w:ascii="Calibri" w:hAnsi="Calibri"/>
          <w:b/>
          <w:sz w:val="32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2223-301-14559685-2013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" w:ascii="Calibri" w:hAnsi="Calibri"/>
        </w:rPr>
        <w:t>Литейное разделительное покрытие предназначено для нанесения на модельную остнастку и стержневые ящики из деревянных, металлических и полимерных материалов  в качестве противоадгезионных средств для всех видов холодного отверждения при изготовлении форм и стержней.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Жидкость молочно-белого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(сопло диаметром 4 мм), при (20 ± 0,5)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сек.,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12 - 15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(20 ± 0,2)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г/см3,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0,7 – 0,9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Стальные  бочки, барабаны, вёдра или пластиковые канистры, бидоны  с плотно закрывающимися крышками.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Хранить  литейные разделительные покрытия необходимо  в герметичной упаковке при плюсовой температуре не выше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С, вдали от источников огня и в местах защищённых от воздействия прямых солнечных лучей и атмосферных осадков.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12 месяцев со дня изготовления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Рекомендации по использованию разделительных покрытий: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Перед применением необходимо тщательно перемешать в собственной таре до однородного состояния миксером с пневматическим или электрическим приводом, после чего проводится замер вязкости и плотности. После перемешивания ёмкости с покрытием держать плотно закрытыми. Нанесение разделительных покрытий на чистую поверхность модельной 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оснастки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 или стержневого ящика производится кистью тонким слоем или с помощью распылителя. Время высыхания покрытия при нормальной температуре 10-15 минут. При пониженной температуре можно использовать обдув тёплым воздухом. Степень высыхания определяется на ощупь.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LibreOffice/6.0.4.2$Windows_X86_64 LibreOffice_project/9b0d9b32d5dcda91d2f1a96dc04c645c450872bf</Application>
  <Pages>1</Pages>
  <Words>255</Words>
  <Characters>1727</Characters>
  <CharactersWithSpaces>2002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2018-05-25T10:24:05Z</dcterms:modified>
  <cp:revision>29</cp:revision>
  <dc:subject/>
  <dc:title/>
</cp:coreProperties>
</file>